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7130DDBE"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9B5527" w:rsidRPr="004F07AF">
        <w:rPr>
          <w:rFonts w:ascii="PT Astra Serif" w:hAnsi="PT Astra Serif"/>
          <w:b/>
          <w:color w:val="000099"/>
          <w:sz w:val="24"/>
          <w:szCs w:val="24"/>
          <w:lang w:val="ru-RU"/>
        </w:rPr>
        <w:t xml:space="preserve">не </w:t>
      </w:r>
      <w:r w:rsidR="009C1520" w:rsidRPr="009C1520">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4A65F452" w14:textId="04E4049E" w:rsidR="001A7D9A" w:rsidRPr="001A7D9A" w:rsidRDefault="00C71AE4" w:rsidP="001A7D9A">
      <w:pPr>
        <w:spacing w:before="0" w:beforeAutospacing="0" w:after="0" w:afterAutospacing="0"/>
        <w:ind w:firstLine="567"/>
        <w:jc w:val="both"/>
        <w:rPr>
          <w:rFonts w:ascii="PT Astra Serif" w:hAnsi="PT Astra Serif"/>
          <w:color w:val="000099"/>
          <w:sz w:val="24"/>
          <w:szCs w:val="24"/>
          <w:lang w:val="ru-RU"/>
        </w:rPr>
      </w:pPr>
      <w:proofErr w:type="gramStart"/>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9B5527" w:rsidRPr="004F07AF">
        <w:rPr>
          <w:rFonts w:ascii="PT Astra Serif" w:hAnsi="PT Astra Serif"/>
          <w:b/>
          <w:color w:val="000099"/>
          <w:sz w:val="24"/>
          <w:szCs w:val="24"/>
          <w:lang w:val="ru-RU"/>
        </w:rPr>
        <w:t xml:space="preserve">не </w:t>
      </w:r>
      <w:r w:rsidR="001A7D9A" w:rsidRPr="001A7D9A">
        <w:rPr>
          <w:rFonts w:ascii="PT Astra Serif" w:hAnsi="PT Astra Serif"/>
          <w:b/>
          <w:color w:val="000099"/>
          <w:sz w:val="24"/>
          <w:szCs w:val="24"/>
          <w:lang w:val="ru-RU"/>
        </w:rPr>
        <w:t>требуется</w:t>
      </w:r>
      <w:r w:rsidR="001A7D9A" w:rsidRPr="001A7D9A">
        <w:rPr>
          <w:rFonts w:ascii="PT Astra Serif" w:hAnsi="PT Astra Serif"/>
          <w:color w:val="000099"/>
          <w:sz w:val="24"/>
          <w:szCs w:val="24"/>
          <w:lang w:val="ru-RU"/>
        </w:rPr>
        <w:t>;</w:t>
      </w:r>
      <w:proofErr w:type="gramEnd"/>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1DB54294" w14:textId="61DD9A4C" w:rsidR="00A16385" w:rsidRDefault="00A17BE5" w:rsidP="00D16A8A">
      <w:pPr>
        <w:spacing w:before="0" w:beforeAutospacing="0" w:after="0" w:afterAutospacing="0"/>
        <w:ind w:firstLine="567"/>
        <w:jc w:val="both"/>
        <w:rPr>
          <w:rFonts w:ascii="PT Astra Serif" w:hAnsi="PT Astra Serif"/>
          <w:color w:val="000099"/>
          <w:sz w:val="24"/>
          <w:szCs w:val="24"/>
          <w:lang w:val="ru-RU"/>
        </w:rPr>
      </w:pPr>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xml:space="preserve">) </w:t>
      </w:r>
      <w:r w:rsidR="00C0059C" w:rsidRPr="00C0059C">
        <w:rPr>
          <w:rFonts w:ascii="PT Astra Serif" w:hAnsi="PT Astra Serif"/>
          <w:color w:val="000000"/>
          <w:sz w:val="24"/>
          <w:szCs w:val="24"/>
          <w:lang w:val="ru-RU"/>
        </w:rPr>
        <w:t>информация и документы, определённые в соответствии с пунктом 2 части 2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оказываемых иностранными лицами</w:t>
      </w:r>
      <w:r w:rsidR="0095302E" w:rsidRPr="004F07AF">
        <w:rPr>
          <w:rFonts w:ascii="PT Astra Serif" w:hAnsi="PT Astra Serif"/>
          <w:color w:val="000000"/>
          <w:sz w:val="24"/>
          <w:szCs w:val="24"/>
          <w:lang w:val="ru-RU"/>
        </w:rPr>
        <w:t xml:space="preserve">: </w:t>
      </w:r>
      <w:r w:rsidR="009B5527" w:rsidRPr="004F07AF">
        <w:rPr>
          <w:rFonts w:ascii="PT Astra Serif" w:hAnsi="PT Astra Serif"/>
          <w:b/>
          <w:color w:val="000099"/>
          <w:sz w:val="24"/>
          <w:szCs w:val="24"/>
          <w:lang w:val="ru-RU"/>
        </w:rPr>
        <w:t xml:space="preserve">не </w:t>
      </w:r>
      <w:r w:rsidR="008757C5">
        <w:rPr>
          <w:rFonts w:ascii="PT Astra Serif" w:hAnsi="PT Astra Serif"/>
          <w:b/>
          <w:color w:val="000099"/>
          <w:sz w:val="24"/>
          <w:szCs w:val="24"/>
          <w:lang w:val="ru-RU"/>
        </w:rPr>
        <w:t>т</w:t>
      </w:r>
      <w:r w:rsidR="0095302E" w:rsidRPr="004F07AF">
        <w:rPr>
          <w:rFonts w:ascii="PT Astra Serif" w:hAnsi="PT Astra Serif"/>
          <w:b/>
          <w:color w:val="000099"/>
          <w:sz w:val="24"/>
          <w:szCs w:val="24"/>
          <w:lang w:val="ru-RU"/>
        </w:rPr>
        <w:t>ребуется</w:t>
      </w:r>
      <w:bookmarkStart w:id="0" w:name="_GoBack"/>
      <w:bookmarkEnd w:id="0"/>
      <w:r w:rsidR="00DE7F08">
        <w:rPr>
          <w:rFonts w:ascii="PT Astra Serif" w:hAnsi="PT Astra Serif"/>
          <w:color w:val="000099"/>
          <w:sz w:val="24"/>
          <w:szCs w:val="24"/>
          <w:lang w:val="ru-RU"/>
        </w:rPr>
        <w:t>.</w:t>
      </w:r>
    </w:p>
    <w:p w14:paraId="6520C603" w14:textId="77777777" w:rsidR="00DE7F08" w:rsidRPr="00DE7F08" w:rsidRDefault="00DE7F08"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54D5F571"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lastRenderedPageBreak/>
        <w:t>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w:t>
      </w:r>
    </w:p>
    <w:p w14:paraId="2F35D2E2"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3EE7F1FB"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В случае,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содержащимися в приложенных к заявке документах (файлах), приоритет имеет информация, содержащаяся в заявке в структурированном виде.</w:t>
      </w:r>
    </w:p>
    <w:p w14:paraId="633B07C4" w14:textId="77777777" w:rsidR="00083849"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Кроме предусмотренных «Инструкцией по заполнению характеристик в заявке» (далее – Инструкция) требований, указанных в описании объекта закупки, в том числе в структурированном виде, при формировании заявки участником закупки должны быть учтены следующие уточняющие положения:</w:t>
      </w:r>
    </w:p>
    <w:p w14:paraId="6AA5E562"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p>
    <w:p w14:paraId="795DD21D"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1F52A9DC"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14B1232"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p>
    <w:p w14:paraId="7805E79F"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w:t>
      </w:r>
    </w:p>
    <w:p w14:paraId="1593A857"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конкретное значение характеристики».</w:t>
      </w:r>
    </w:p>
    <w:p w14:paraId="5CADC28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110CCCB3"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 значение характеристики, превышающее указанное,</w:t>
      </w:r>
    </w:p>
    <w:p w14:paraId="3315BB15"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превышающее указанное;</w:t>
      </w:r>
    </w:p>
    <w:p w14:paraId="63B6D61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значение характеристики менее указанного, </w:t>
      </w:r>
    </w:p>
    <w:p w14:paraId="78410D4B"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менее указанного;</w:t>
      </w:r>
    </w:p>
    <w:p w14:paraId="72A7F2A0"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 «≥ и &lt;» - значение равное или превышающее левое значение и менее правого значения;</w:t>
      </w:r>
    </w:p>
    <w:p w14:paraId="3013D20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 - значение превышающее левое значение и равное или менее правого значения;</w:t>
      </w:r>
    </w:p>
    <w:p w14:paraId="036DDBD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&lt;» - значение превышающее левое значение и менее правого значения;</w:t>
      </w:r>
    </w:p>
    <w:p w14:paraId="2896C961"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и ≤» - значение равное или превышающее левое значение и равное или менее правого значения.</w:t>
      </w:r>
    </w:p>
    <w:p w14:paraId="3BB849A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«не ниже» - значение равное или превышающее указанное;</w:t>
      </w:r>
    </w:p>
    <w:p w14:paraId="27EE8D7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более», «не выше» - значение равное или менее указанного;</w:t>
      </w:r>
    </w:p>
    <w:p w14:paraId="05B518F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«менее», «ниже» - значение меньше указанного;</w:t>
      </w:r>
    </w:p>
    <w:p w14:paraId="0F8BB1A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«более», «выше», «свыше» - значение, превышающее указанное;</w:t>
      </w:r>
    </w:p>
    <w:p w14:paraId="7D2BC336"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12ECE38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24E0B37E"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lastRenderedPageBreak/>
        <w:t>- «от» - указанное значение или превышающее его;</w:t>
      </w:r>
    </w:p>
    <w:p w14:paraId="5B52A444" w14:textId="77777777" w:rsidR="00083849" w:rsidRPr="00807BCD"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(например: ≥ 5*10 – знак применяется к значению 5 и к значению 10).</w:t>
      </w:r>
    </w:p>
    <w:p w14:paraId="0C74A716"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p>
    <w:p w14:paraId="723ABD6C"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w:t>
      </w:r>
    </w:p>
    <w:p w14:paraId="5281CE8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диа</w:t>
      </w:r>
      <w:r>
        <w:rPr>
          <w:rFonts w:ascii="PT Astra Serif" w:eastAsia="Calibri" w:hAnsi="PT Astra Serif"/>
          <w:sz w:val="24"/>
          <w:szCs w:val="24"/>
          <w:lang w:val="ru-RU"/>
        </w:rPr>
        <w:t>пазон значений характеристики».</w:t>
      </w:r>
    </w:p>
    <w:p w14:paraId="58DDA381"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49D6731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менее или равное установленному;</w:t>
      </w:r>
    </w:p>
    <w:p w14:paraId="430B04EA"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более или равное установленному;</w:t>
      </w:r>
    </w:p>
    <w:p w14:paraId="18C855A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участником представляется значение менее </w:t>
      </w:r>
      <w:proofErr w:type="gramStart"/>
      <w:r w:rsidRPr="00A37F95">
        <w:rPr>
          <w:rFonts w:ascii="PT Astra Serif" w:eastAsia="Calibri" w:hAnsi="PT Astra Serif"/>
          <w:sz w:val="24"/>
          <w:szCs w:val="24"/>
          <w:lang w:val="ru-RU"/>
        </w:rPr>
        <w:t>установленному</w:t>
      </w:r>
      <w:proofErr w:type="gramEnd"/>
      <w:r w:rsidRPr="00A37F95">
        <w:rPr>
          <w:rFonts w:ascii="PT Astra Serif" w:eastAsia="Calibri" w:hAnsi="PT Astra Serif"/>
          <w:sz w:val="24"/>
          <w:szCs w:val="24"/>
          <w:lang w:val="ru-RU"/>
        </w:rPr>
        <w:t>;</w:t>
      </w:r>
    </w:p>
    <w:p w14:paraId="5889EC6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&gt; - участником представляется значение более </w:t>
      </w:r>
      <w:proofErr w:type="gramStart"/>
      <w:r w:rsidRPr="00A37F95">
        <w:rPr>
          <w:rFonts w:ascii="PT Astra Serif" w:eastAsia="Calibri" w:hAnsi="PT Astra Serif"/>
          <w:sz w:val="24"/>
          <w:szCs w:val="24"/>
          <w:lang w:val="ru-RU"/>
        </w:rPr>
        <w:t>установленному</w:t>
      </w:r>
      <w:proofErr w:type="gramEnd"/>
      <w:r w:rsidRPr="00A37F95">
        <w:rPr>
          <w:rFonts w:ascii="PT Astra Serif" w:eastAsia="Calibri" w:hAnsi="PT Astra Serif"/>
          <w:sz w:val="24"/>
          <w:szCs w:val="24"/>
          <w:lang w:val="ru-RU"/>
        </w:rPr>
        <w:t>.</w:t>
      </w:r>
    </w:p>
    <w:p w14:paraId="3E3F59B4"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В случае</w:t>
      </w:r>
      <w:proofErr w:type="gramStart"/>
      <w:r w:rsidRPr="00A37F95">
        <w:rPr>
          <w:rFonts w:ascii="PT Astra Serif" w:eastAsia="Calibri" w:hAnsi="PT Astra Serif"/>
          <w:sz w:val="24"/>
          <w:szCs w:val="24"/>
          <w:lang w:val="ru-RU"/>
        </w:rPr>
        <w:t>,</w:t>
      </w:r>
      <w:proofErr w:type="gramEnd"/>
      <w:r w:rsidRPr="00A37F95">
        <w:rPr>
          <w:rFonts w:ascii="PT Astra Serif" w:eastAsia="Calibri" w:hAnsi="PT Astra Serif"/>
          <w:sz w:val="24"/>
          <w:szCs w:val="24"/>
          <w:lang w:val="ru-RU"/>
        </w:rPr>
        <w:t xml:space="preserve">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w:t>
      </w:r>
      <w:proofErr w:type="gramStart"/>
      <w:r w:rsidRPr="00A37F95">
        <w:rPr>
          <w:rFonts w:ascii="PT Astra Serif" w:eastAsia="Calibri" w:hAnsi="PT Astra Serif"/>
          <w:sz w:val="24"/>
          <w:szCs w:val="24"/>
          <w:lang w:val="ru-RU"/>
        </w:rPr>
        <w:t>Х &lt;Y, &gt;Х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roofErr w:type="gramEnd"/>
    </w:p>
    <w:p w14:paraId="1F6114E7" w14:textId="77777777" w:rsidR="00083849" w:rsidRPr="004F07AF"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6A6B9278" w14:textId="77777777" w:rsidR="00083849" w:rsidRPr="00807BCD" w:rsidRDefault="00083849" w:rsidP="00083849">
      <w:pPr>
        <w:spacing w:before="0" w:beforeAutospacing="0" w:after="0" w:afterAutospacing="0"/>
        <w:ind w:firstLine="709"/>
        <w:jc w:val="both"/>
        <w:rPr>
          <w:rFonts w:ascii="PT Astra Serif" w:eastAsia="Calibri" w:hAnsi="PT Astra Serif"/>
          <w:sz w:val="24"/>
          <w:szCs w:val="24"/>
          <w:lang w:val="ru-RU"/>
        </w:rPr>
      </w:pPr>
    </w:p>
    <w:p w14:paraId="3BDEFA68"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III</w:t>
      </w:r>
    </w:p>
    <w:p w14:paraId="74394870" w14:textId="77777777" w:rsidR="00083849" w:rsidRPr="00A37F95" w:rsidRDefault="00083849" w:rsidP="00083849">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Инструкцией установлено «Участник закупки указывает в заявке только одно значение характеристики». </w:t>
      </w:r>
    </w:p>
    <w:p w14:paraId="549CD6AA" w14:textId="77777777" w:rsidR="00083849" w:rsidRDefault="00083849" w:rsidP="00083849">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1FE419D7" w14:textId="77777777" w:rsidR="00083849" w:rsidRPr="00A37F95" w:rsidRDefault="00083849" w:rsidP="00083849">
      <w:pPr>
        <w:spacing w:before="0" w:beforeAutospacing="0" w:after="0" w:afterAutospacing="0"/>
        <w:ind w:firstLine="709"/>
        <w:jc w:val="both"/>
        <w:rPr>
          <w:rFonts w:ascii="PT Astra Serif" w:hAnsi="PT Astra Serif"/>
          <w:color w:val="000000"/>
          <w:sz w:val="24"/>
          <w:szCs w:val="24"/>
          <w:lang w:val="ru-RU"/>
        </w:rPr>
      </w:pPr>
    </w:p>
    <w:p w14:paraId="0CC01E08"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IV</w:t>
      </w:r>
    </w:p>
    <w:p w14:paraId="414CD2FA"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одно или несколько значений характеристики».</w:t>
      </w:r>
    </w:p>
    <w:p w14:paraId="3B4691E5"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1D57C633"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одновременном использовании знаков «</w:t>
      </w:r>
      <w:proofErr w:type="gramStart"/>
      <w:r w:rsidRPr="00A37F95">
        <w:rPr>
          <w:rFonts w:ascii="PT Astra Serif" w:eastAsia="Calibri" w:hAnsi="PT Astra Serif"/>
          <w:sz w:val="24"/>
          <w:szCs w:val="24"/>
          <w:lang w:val="ru-RU"/>
        </w:rPr>
        <w:t>,»</w:t>
      </w:r>
      <w:proofErr w:type="gramEnd"/>
      <w:r w:rsidRPr="00A37F95">
        <w:rPr>
          <w:rFonts w:ascii="PT Astra Serif" w:eastAsia="Calibri" w:hAnsi="PT Astra Serif"/>
          <w:sz w:val="24"/>
          <w:szCs w:val="24"/>
          <w:lang w:val="ru-RU"/>
        </w:rPr>
        <w:t xml:space="preserve"> и союзов «или», «либо» участник указывает все значения до союза «или», «либо» или значение, указанное после союза «или», «либо» (например: 1, 2, 3 или 4; участник предлагает: вариант1 – 1, 2, 3; вариант 2 – 4).</w:t>
      </w:r>
    </w:p>
    <w:p w14:paraId="4B5B5B5B"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0ACCA12E"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 xml:space="preserve">Раздел V </w:t>
      </w:r>
    </w:p>
    <w:p w14:paraId="6750237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все значения характеристики»</w:t>
      </w:r>
    </w:p>
    <w:p w14:paraId="086EAB6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 в «Описании объекта закупки» при описании значения характеристики использует перечисления через знаки «,», «;», «/», союз «и» участник закупки указывает в заявке все перечисленные значения.</w:t>
      </w:r>
    </w:p>
    <w:p w14:paraId="18B2A0AE"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17CAFC45"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VI</w:t>
      </w:r>
    </w:p>
    <w:p w14:paraId="613C9A5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r>
        <w:rPr>
          <w:rFonts w:ascii="PT Astra Serif" w:eastAsia="Calibri" w:hAnsi="PT Astra Serif"/>
          <w:sz w:val="24"/>
          <w:szCs w:val="24"/>
          <w:lang w:val="ru-RU"/>
        </w:rPr>
        <w:t>З</w:t>
      </w:r>
      <w:r w:rsidRPr="00A37F95">
        <w:rPr>
          <w:rFonts w:ascii="PT Astra Serif" w:eastAsia="Calibri" w:hAnsi="PT Astra Serif"/>
          <w:sz w:val="24"/>
          <w:szCs w:val="24"/>
          <w:lang w:val="ru-RU"/>
        </w:rPr>
        <w:t xml:space="preserve">аказчиком в «описании объекта закупки». </w:t>
      </w:r>
    </w:p>
    <w:p w14:paraId="6CFABD9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6A47776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lastRenderedPageBreak/>
        <w:t xml:space="preserve">Значения показателей не должны допускать разночтения или двусмысленное толкование и содержать в </w:t>
      </w:r>
      <w:proofErr w:type="spellStart"/>
      <w:r w:rsidRPr="00A37F95">
        <w:rPr>
          <w:rFonts w:ascii="PT Astra Serif" w:eastAsia="Calibri" w:hAnsi="PT Astra Serif"/>
          <w:sz w:val="24"/>
          <w:szCs w:val="24"/>
          <w:lang w:val="ru-RU"/>
        </w:rPr>
        <w:t>т.ч</w:t>
      </w:r>
      <w:proofErr w:type="spellEnd"/>
      <w:r w:rsidRPr="00A37F95">
        <w:rPr>
          <w:rFonts w:ascii="PT Astra Serif" w:eastAsia="Calibri" w:hAnsi="PT Astra Serif"/>
          <w:sz w:val="24"/>
          <w:szCs w:val="24"/>
          <w:lang w:val="ru-RU"/>
        </w:rPr>
        <w:t>. следующие слова (с учётом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 есть должны быть конкретными.</w:t>
      </w:r>
    </w:p>
    <w:p w14:paraId="52BDBEA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54480AF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6ADABBEA"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6467F3B2"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02FCDEE4"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39FF818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1A191ACC" w14:textId="77777777" w:rsidR="00083849" w:rsidRPr="00A37F95" w:rsidRDefault="00083849" w:rsidP="00083849">
      <w:pPr>
        <w:spacing w:before="0" w:beforeAutospacing="0" w:after="0" w:afterAutospacing="0"/>
        <w:ind w:firstLine="709"/>
        <w:jc w:val="both"/>
        <w:rPr>
          <w:rFonts w:ascii="PT Astra Serif" w:eastAsia="Calibri" w:hAnsi="PT Astra Serif"/>
          <w:sz w:val="16"/>
          <w:szCs w:val="16"/>
          <w:lang w:val="ru-RU"/>
        </w:rPr>
      </w:pPr>
      <w:r w:rsidRPr="00A37F95">
        <w:rPr>
          <w:rFonts w:ascii="PT Astra Serif" w:eastAsia="Calibri" w:hAnsi="PT Astra Serif"/>
          <w:sz w:val="16"/>
          <w:szCs w:val="16"/>
          <w:lang w:val="ru-RU"/>
        </w:rPr>
        <w:t>Примечание: В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14:paraId="1658B31C" w14:textId="7314A8AE" w:rsidR="00EC02CD" w:rsidRPr="004F07AF" w:rsidRDefault="00EC02CD" w:rsidP="00083849">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3A3568" w14:textId="77777777" w:rsidR="00AD1418" w:rsidRDefault="00AD1418" w:rsidP="00457339">
      <w:pPr>
        <w:spacing w:before="0" w:after="0"/>
      </w:pPr>
      <w:r>
        <w:separator/>
      </w:r>
    </w:p>
  </w:endnote>
  <w:endnote w:type="continuationSeparator" w:id="0">
    <w:p w14:paraId="30C25839" w14:textId="77777777" w:rsidR="00AD1418" w:rsidRDefault="00AD1418"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810757"/>
      <w:docPartObj>
        <w:docPartGallery w:val="Page Numbers (Bottom of Page)"/>
        <w:docPartUnique/>
      </w:docPartObj>
    </w:sdtPr>
    <w:sdtEndPr/>
    <w:sdtContent>
      <w:p w14:paraId="299D527A" w14:textId="2E2D95EE" w:rsidR="00457339" w:rsidRDefault="00457339">
        <w:pPr>
          <w:pStyle w:val="ad"/>
          <w:jc w:val="center"/>
        </w:pPr>
        <w:r>
          <w:fldChar w:fldCharType="begin"/>
        </w:r>
        <w:r>
          <w:instrText>PAGE   \* MERGEFORMAT</w:instrText>
        </w:r>
        <w:r>
          <w:fldChar w:fldCharType="separate"/>
        </w:r>
        <w:r w:rsidR="009B5527" w:rsidRPr="009B5527">
          <w:rPr>
            <w:noProof/>
            <w:lang w:val="ru-RU"/>
          </w:rPr>
          <w:t>3</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4E254" w14:textId="77777777" w:rsidR="00AD1418" w:rsidRDefault="00AD1418" w:rsidP="00457339">
      <w:pPr>
        <w:spacing w:before="0" w:after="0"/>
      </w:pPr>
      <w:r>
        <w:separator/>
      </w:r>
    </w:p>
  </w:footnote>
  <w:footnote w:type="continuationSeparator" w:id="0">
    <w:p w14:paraId="7FE509A0" w14:textId="77777777" w:rsidR="00AD1418" w:rsidRDefault="00AD1418" w:rsidP="0045733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83849"/>
    <w:rsid w:val="000D54BE"/>
    <w:rsid w:val="000F22C3"/>
    <w:rsid w:val="001102D0"/>
    <w:rsid w:val="001A7D9A"/>
    <w:rsid w:val="001B6BBC"/>
    <w:rsid w:val="001C65C1"/>
    <w:rsid w:val="001E1C1A"/>
    <w:rsid w:val="001F29E0"/>
    <w:rsid w:val="00220EC3"/>
    <w:rsid w:val="00256770"/>
    <w:rsid w:val="00261A67"/>
    <w:rsid w:val="0028377A"/>
    <w:rsid w:val="002901C9"/>
    <w:rsid w:val="002D33B1"/>
    <w:rsid w:val="002D3591"/>
    <w:rsid w:val="002F2F2B"/>
    <w:rsid w:val="002F7B8A"/>
    <w:rsid w:val="00313156"/>
    <w:rsid w:val="003323F2"/>
    <w:rsid w:val="003514A0"/>
    <w:rsid w:val="003D1F09"/>
    <w:rsid w:val="004320A4"/>
    <w:rsid w:val="00457339"/>
    <w:rsid w:val="004924EA"/>
    <w:rsid w:val="004A0506"/>
    <w:rsid w:val="004F07AF"/>
    <w:rsid w:val="004F7E17"/>
    <w:rsid w:val="0058272A"/>
    <w:rsid w:val="005A05CE"/>
    <w:rsid w:val="005D4897"/>
    <w:rsid w:val="005E46F0"/>
    <w:rsid w:val="00614567"/>
    <w:rsid w:val="00617F1A"/>
    <w:rsid w:val="0063423E"/>
    <w:rsid w:val="0064289D"/>
    <w:rsid w:val="00653AF6"/>
    <w:rsid w:val="00663235"/>
    <w:rsid w:val="00692C11"/>
    <w:rsid w:val="006D0956"/>
    <w:rsid w:val="00730DAF"/>
    <w:rsid w:val="00734004"/>
    <w:rsid w:val="00735679"/>
    <w:rsid w:val="00757B48"/>
    <w:rsid w:val="007B7B42"/>
    <w:rsid w:val="00807BCD"/>
    <w:rsid w:val="00815405"/>
    <w:rsid w:val="00846EDD"/>
    <w:rsid w:val="008757C5"/>
    <w:rsid w:val="008D28E9"/>
    <w:rsid w:val="00903278"/>
    <w:rsid w:val="009271BE"/>
    <w:rsid w:val="0093383E"/>
    <w:rsid w:val="0095302E"/>
    <w:rsid w:val="009B5527"/>
    <w:rsid w:val="009C1520"/>
    <w:rsid w:val="009D246C"/>
    <w:rsid w:val="009E0ACB"/>
    <w:rsid w:val="00A04AA7"/>
    <w:rsid w:val="00A16385"/>
    <w:rsid w:val="00A17BE5"/>
    <w:rsid w:val="00A8378F"/>
    <w:rsid w:val="00A8650B"/>
    <w:rsid w:val="00AD1418"/>
    <w:rsid w:val="00AF376C"/>
    <w:rsid w:val="00B078AA"/>
    <w:rsid w:val="00B504FC"/>
    <w:rsid w:val="00B52F91"/>
    <w:rsid w:val="00B73A5A"/>
    <w:rsid w:val="00B81B48"/>
    <w:rsid w:val="00BE55C0"/>
    <w:rsid w:val="00BF4B4C"/>
    <w:rsid w:val="00C0059C"/>
    <w:rsid w:val="00C242E4"/>
    <w:rsid w:val="00C26F57"/>
    <w:rsid w:val="00C40EE7"/>
    <w:rsid w:val="00C41787"/>
    <w:rsid w:val="00C71AE4"/>
    <w:rsid w:val="00C7514A"/>
    <w:rsid w:val="00C91B8E"/>
    <w:rsid w:val="00D16A8A"/>
    <w:rsid w:val="00DB4D87"/>
    <w:rsid w:val="00DD3588"/>
    <w:rsid w:val="00DE7F08"/>
    <w:rsid w:val="00E063BE"/>
    <w:rsid w:val="00E2594A"/>
    <w:rsid w:val="00E2670F"/>
    <w:rsid w:val="00E4089C"/>
    <w:rsid w:val="00E438A1"/>
    <w:rsid w:val="00EB7E4F"/>
    <w:rsid w:val="00EC02CD"/>
    <w:rsid w:val="00F01E19"/>
    <w:rsid w:val="00F12C3A"/>
    <w:rsid w:val="00F26475"/>
    <w:rsid w:val="00FB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2787</Words>
  <Characters>15886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16</cp:revision>
  <cp:lastPrinted>2025-01-22T05:34:00Z</cp:lastPrinted>
  <dcterms:created xsi:type="dcterms:W3CDTF">2023-02-01T09:47:00Z</dcterms:created>
  <dcterms:modified xsi:type="dcterms:W3CDTF">2025-01-22T07:36:00Z</dcterms:modified>
</cp:coreProperties>
</file>